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ind w:left="0" w:right="0" w:firstLine="0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1.Общая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10059" w:type="dxa"/>
        <w:tblInd w:w="-425" w:type="dxa"/>
        <w:tblLayout w:type="fixed"/>
        <w:tblLook w:val="04A0" w:firstRow="1" w:lastRow="0" w:firstColumn="1" w:lastColumn="0" w:noHBand="0" w:noVBand="1"/>
      </w:tblPr>
      <w:tblGrid>
        <w:gridCol w:w="709"/>
        <w:gridCol w:w="4077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blPrEx/>
        <w:trPr>
          <w:trHeight w:val="1258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ОКПД 2 28.25.20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42016101-ЭКСП ПРОД-2026-ДГК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4077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НМЦ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5 010 933,26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r>
          </w:p>
        </w:tc>
      </w:tr>
    </w:tbl>
    <w:p>
      <w:pPr>
        <w:ind w:left="0" w:right="0" w:firstLine="0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2.Использованный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/>
      <w:bookmarkStart w:id="0" w:name="_GoBack"/>
      <w:r/>
      <w:bookmarkEnd w:id="0"/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ind w:left="0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</w:t>
      </w:r>
      <w:r>
        <w:rPr>
          <w:rFonts w:ascii="Times New Roman" w:hAnsi="Times New Roman" w:eastAsia="Calibri"/>
          <w:sz w:val="26"/>
          <w:szCs w:val="26"/>
        </w:rPr>
        <w:t xml:space="preserve">анализа ТКП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2551"/>
        <w:gridCol w:w="1802"/>
        <w:gridCol w:w="1742"/>
        <w:gridCol w:w="1701"/>
      </w:tblGrid>
      <w:tr>
        <w:tblPrEx/>
        <w:trPr>
          <w:trHeight w:val="70"/>
        </w:trPr>
        <w:tc>
          <w:tcPr>
            <w:shd w:val="clear" w:color="000000" w:fill="e7e6e6"/>
            <w:tcW w:w="22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8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7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1255"/>
        </w:trPr>
        <w:tc>
          <w:tcPr>
            <w:tcW w:w="2273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Запасные части и оборудование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для вентиляции и отопления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ТКП № 1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5 010 933,26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r>
          </w:p>
        </w:tc>
        <w:tc>
          <w:tcPr>
            <w:shd w:val="clear" w:color="auto" w:fill="auto"/>
            <w:tcW w:w="1742" w:type="dxa"/>
            <w:vMerge w:val="restart"/>
            <w:textDirection w:val="lrTb"/>
            <w:noWrap w:val="false"/>
          </w:tcPr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  <w:t xml:space="preserve">5 010 933,26</w:t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п. 3.3.8 Единой Методики формирования плановой цены на закупаемую продукцию для организаций группы РусГидро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1459"/>
        </w:trPr>
        <w:tc>
          <w:tcPr>
            <w:tcW w:w="227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2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5 115 662,25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742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954"/>
        </w:trPr>
        <w:tc>
          <w:tcPr>
            <w:tcW w:w="227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Запасные части и оборудование для вентиляции и отопления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3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:lang w:eastAsia="ru-RU"/>
              </w:rPr>
              <w:t xml:space="preserve">6 256 651,4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742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sorokoletova_as</cp:lastModifiedBy>
  <cp:revision>34</cp:revision>
  <dcterms:created xsi:type="dcterms:W3CDTF">2023-06-15T01:12:00Z</dcterms:created>
  <dcterms:modified xsi:type="dcterms:W3CDTF">2025-12-04T01:49:14Z</dcterms:modified>
</cp:coreProperties>
</file>